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470B14">
        <w:rPr>
          <w:rFonts w:ascii="Times New Roman" w:hAnsi="Times New Roman"/>
          <w:b/>
          <w:sz w:val="24"/>
          <w:szCs w:val="24"/>
        </w:rPr>
        <w:t>2012-23</w:t>
      </w:r>
    </w:p>
    <w:p w:rsidR="002C782B" w:rsidRPr="00061671" w:rsidRDefault="00470B14" w:rsidP="009305E1">
      <w:pPr>
        <w:rPr>
          <w:rFonts w:ascii="Times New Roman" w:hAnsi="Times New Roman"/>
          <w:b/>
          <w:sz w:val="24"/>
          <w:szCs w:val="24"/>
        </w:rPr>
      </w:pPr>
      <w:r>
        <w:rPr>
          <w:rFonts w:ascii="Times New Roman" w:hAnsi="Times New Roman"/>
          <w:b/>
          <w:sz w:val="24"/>
          <w:szCs w:val="24"/>
        </w:rPr>
        <w:t>BRIAN E. ROWE, CPA</w:t>
      </w:r>
    </w:p>
    <w:p w:rsidR="002C782B" w:rsidRDefault="002C782B" w:rsidP="009305E1">
      <w:pPr>
        <w:rPr>
          <w:rFonts w:ascii="Times New Roman" w:hAnsi="Times New Roman"/>
          <w:b/>
          <w:sz w:val="24"/>
          <w:szCs w:val="24"/>
        </w:rPr>
      </w:pPr>
      <w:r w:rsidRPr="00061671">
        <w:rPr>
          <w:rFonts w:ascii="Times New Roman" w:hAnsi="Times New Roman"/>
          <w:b/>
          <w:sz w:val="24"/>
          <w:szCs w:val="24"/>
        </w:rPr>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w:t>
      </w:r>
      <w:r w:rsidR="00B00F29">
        <w:rPr>
          <w:rFonts w:ascii="Times New Roman" w:hAnsi="Times New Roman"/>
          <w:sz w:val="24"/>
          <w:szCs w:val="24"/>
        </w:rPr>
        <w:t xml:space="preserve"> the New Mexico Public Accountancy Act, the Public Accountancy Board Rules, and the AICPA Professional Standards Code of Professional Conduct,</w:t>
      </w:r>
      <w:r w:rsidRPr="00977095">
        <w:rPr>
          <w:rFonts w:ascii="Times New Roman" w:hAnsi="Times New Roman"/>
          <w:sz w:val="24"/>
          <w:szCs w:val="24"/>
        </w:rPr>
        <w:t xml:space="preserve"> </w:t>
      </w:r>
      <w:r w:rsidR="00B00F29">
        <w:rPr>
          <w:rFonts w:ascii="Times New Roman" w:hAnsi="Times New Roman"/>
          <w:sz w:val="24"/>
          <w:szCs w:val="24"/>
        </w:rPr>
        <w:t>which are</w:t>
      </w:r>
      <w:r w:rsidRPr="00977095">
        <w:rPr>
          <w:rFonts w:ascii="Times New Roman" w:hAnsi="Times New Roman"/>
          <w:sz w:val="24"/>
          <w:szCs w:val="24"/>
        </w:rPr>
        <w:t xml:space="preserve"> violation</w:t>
      </w:r>
      <w:r w:rsidR="00B00F29">
        <w:rPr>
          <w:rFonts w:ascii="Times New Roman" w:hAnsi="Times New Roman"/>
          <w:sz w:val="24"/>
          <w:szCs w:val="24"/>
        </w:rPr>
        <w:t>s</w:t>
      </w:r>
      <w:r w:rsidRPr="00977095">
        <w:rPr>
          <w:rFonts w:ascii="Times New Roman" w:hAnsi="Times New Roman"/>
          <w:sz w:val="24"/>
          <w:szCs w:val="24"/>
        </w:rPr>
        <w:t xml:space="preserve"> of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7B0D91" w:rsidRDefault="007B0D91" w:rsidP="007B0D91">
      <w:pPr>
        <w:pStyle w:val="ListParagraph"/>
        <w:spacing w:after="0" w:line="480" w:lineRule="auto"/>
        <w:rPr>
          <w:rFonts w:ascii="Times New Roman" w:hAnsi="Times New Roman"/>
          <w:sz w:val="24"/>
          <w:szCs w:val="24"/>
        </w:rPr>
      </w:pPr>
    </w:p>
    <w:p w:rsidR="007B0D91" w:rsidRPr="00E065F6" w:rsidRDefault="007B0D91" w:rsidP="007B0D91">
      <w:pPr>
        <w:pStyle w:val="ListParagraph"/>
        <w:spacing w:after="0" w:line="480" w:lineRule="auto"/>
        <w:rPr>
          <w:rFonts w:ascii="Times New Roman" w:hAnsi="Times New Roman"/>
          <w:sz w:val="24"/>
          <w:szCs w:val="24"/>
        </w:rPr>
      </w:pPr>
    </w:p>
    <w:p w:rsidR="007B0D91" w:rsidRDefault="007C0678" w:rsidP="007B0D91">
      <w:pPr>
        <w:rPr>
          <w:rFonts w:ascii="Times New Roman" w:hAnsi="Times New Roman"/>
          <w:sz w:val="24"/>
          <w:szCs w:val="24"/>
        </w:rPr>
      </w:pPr>
      <w:r>
        <w:rPr>
          <w:rFonts w:ascii="Times New Roman" w:hAnsi="Times New Roman"/>
          <w:sz w:val="24"/>
          <w:szCs w:val="24"/>
        </w:rPr>
        <w:lastRenderedPageBreak/>
        <w:t>Violations:</w:t>
      </w:r>
      <w:r w:rsidR="007B0D91">
        <w:rPr>
          <w:rFonts w:ascii="Times New Roman" w:hAnsi="Times New Roman"/>
          <w:sz w:val="24"/>
          <w:szCs w:val="24"/>
        </w:rPr>
        <w:t xml:space="preserve"> </w:t>
      </w:r>
    </w:p>
    <w:p w:rsidR="007B0D91" w:rsidRPr="008F0C8C" w:rsidRDefault="007B0D91" w:rsidP="008F0C8C">
      <w:pPr>
        <w:ind w:left="1440"/>
        <w:rPr>
          <w:rFonts w:ascii="Times New Roman" w:hAnsi="Times New Roman"/>
          <w:sz w:val="24"/>
          <w:szCs w:val="24"/>
        </w:rPr>
      </w:pPr>
      <w:r w:rsidRPr="008F0C8C">
        <w:rPr>
          <w:rFonts w:ascii="Times New Roman" w:hAnsi="Times New Roman"/>
          <w:sz w:val="24"/>
          <w:szCs w:val="24"/>
        </w:rPr>
        <w:t>61-28B-20 (6), (7), (10)  NMSA 1978: Enforcement; administrative violations and remedies</w:t>
      </w:r>
    </w:p>
    <w:p w:rsidR="007B0D91" w:rsidRPr="008F0C8C" w:rsidRDefault="007B0D91" w:rsidP="008F0C8C">
      <w:pPr>
        <w:ind w:left="720" w:firstLine="720"/>
        <w:rPr>
          <w:rFonts w:ascii="Times New Roman" w:hAnsi="Times New Roman"/>
          <w:sz w:val="24"/>
          <w:szCs w:val="24"/>
        </w:rPr>
      </w:pPr>
      <w:r w:rsidRPr="008F0C8C">
        <w:rPr>
          <w:rFonts w:ascii="Times New Roman" w:hAnsi="Times New Roman"/>
          <w:sz w:val="24"/>
          <w:szCs w:val="24"/>
        </w:rPr>
        <w:t>61-28B-25 NMSA 1978: Working papers; client records</w:t>
      </w:r>
    </w:p>
    <w:p w:rsidR="007B0D91" w:rsidRPr="008F0C8C" w:rsidRDefault="007B0D91" w:rsidP="008F0C8C">
      <w:pPr>
        <w:rPr>
          <w:rFonts w:ascii="Times New Roman" w:hAnsi="Times New Roman"/>
          <w:sz w:val="24"/>
          <w:szCs w:val="24"/>
        </w:rPr>
      </w:pPr>
    </w:p>
    <w:p w:rsidR="007B0D91" w:rsidRPr="008F0C8C" w:rsidRDefault="007B0D91" w:rsidP="008F0C8C">
      <w:pPr>
        <w:ind w:left="720" w:firstLine="720"/>
        <w:rPr>
          <w:rFonts w:ascii="Times New Roman" w:hAnsi="Times New Roman"/>
          <w:sz w:val="24"/>
          <w:szCs w:val="24"/>
        </w:rPr>
      </w:pPr>
      <w:r w:rsidRPr="008F0C8C">
        <w:rPr>
          <w:rFonts w:ascii="Times New Roman" w:hAnsi="Times New Roman"/>
          <w:sz w:val="24"/>
          <w:szCs w:val="24"/>
        </w:rPr>
        <w:t>Code of Professional Conduct</w:t>
      </w:r>
    </w:p>
    <w:p w:rsidR="007B0D91" w:rsidRPr="008F0C8C" w:rsidRDefault="007B0D91" w:rsidP="008F0C8C">
      <w:pPr>
        <w:ind w:left="720" w:firstLine="720"/>
        <w:rPr>
          <w:rFonts w:ascii="Times New Roman" w:hAnsi="Times New Roman"/>
          <w:sz w:val="24"/>
          <w:szCs w:val="24"/>
        </w:rPr>
      </w:pPr>
      <w:r w:rsidRPr="008F0C8C">
        <w:rPr>
          <w:rFonts w:ascii="Times New Roman" w:hAnsi="Times New Roman"/>
          <w:sz w:val="24"/>
          <w:szCs w:val="24"/>
        </w:rPr>
        <w:t>16.60.5.2 NMAC: Scope</w:t>
      </w:r>
    </w:p>
    <w:p w:rsidR="007B0D91" w:rsidRPr="008F0C8C" w:rsidRDefault="007B0D91" w:rsidP="008F0C8C">
      <w:pPr>
        <w:ind w:left="720" w:firstLine="720"/>
        <w:rPr>
          <w:rFonts w:ascii="Times New Roman" w:hAnsi="Times New Roman"/>
          <w:sz w:val="24"/>
          <w:szCs w:val="24"/>
        </w:rPr>
      </w:pPr>
      <w:r w:rsidRPr="008F0C8C">
        <w:rPr>
          <w:rFonts w:ascii="Times New Roman" w:hAnsi="Times New Roman"/>
          <w:sz w:val="24"/>
          <w:szCs w:val="24"/>
        </w:rPr>
        <w:t>16.60.5.6 NMAC: Objective</w:t>
      </w:r>
    </w:p>
    <w:p w:rsidR="007B0D91" w:rsidRPr="008F0C8C" w:rsidRDefault="007B0D91" w:rsidP="008F0C8C">
      <w:pPr>
        <w:ind w:left="720" w:firstLine="720"/>
        <w:rPr>
          <w:rFonts w:ascii="Times New Roman" w:hAnsi="Times New Roman"/>
          <w:sz w:val="24"/>
          <w:szCs w:val="24"/>
        </w:rPr>
      </w:pPr>
      <w:r w:rsidRPr="008F0C8C">
        <w:rPr>
          <w:rFonts w:ascii="Times New Roman" w:hAnsi="Times New Roman"/>
          <w:sz w:val="24"/>
          <w:szCs w:val="24"/>
        </w:rPr>
        <w:t>16.60.5.8 NMAC: Duty to abide by code of professional conduct</w:t>
      </w:r>
    </w:p>
    <w:p w:rsidR="007B0D91" w:rsidRPr="008F0C8C" w:rsidRDefault="007B0D91" w:rsidP="008F0C8C">
      <w:pPr>
        <w:rPr>
          <w:rFonts w:ascii="Times New Roman" w:hAnsi="Times New Roman"/>
          <w:sz w:val="24"/>
          <w:szCs w:val="24"/>
        </w:rPr>
      </w:pPr>
    </w:p>
    <w:p w:rsidR="007B0D91" w:rsidRPr="008F0C8C" w:rsidRDefault="007B0D91" w:rsidP="008F0C8C">
      <w:pPr>
        <w:ind w:left="720" w:firstLine="720"/>
        <w:rPr>
          <w:rFonts w:ascii="Times New Roman" w:hAnsi="Times New Roman"/>
          <w:sz w:val="24"/>
          <w:szCs w:val="24"/>
        </w:rPr>
      </w:pPr>
      <w:r w:rsidRPr="008F0C8C">
        <w:rPr>
          <w:rFonts w:ascii="Times New Roman" w:hAnsi="Times New Roman"/>
          <w:sz w:val="24"/>
          <w:szCs w:val="24"/>
        </w:rPr>
        <w:t>AICPA Professional Standards, Code of Professional Conduct and Bylaws:</w:t>
      </w:r>
    </w:p>
    <w:p w:rsidR="007B0D91" w:rsidRPr="008F0C8C" w:rsidRDefault="007B0D91" w:rsidP="008F0C8C">
      <w:pPr>
        <w:ind w:left="720" w:firstLine="720"/>
        <w:rPr>
          <w:rFonts w:ascii="Times New Roman" w:hAnsi="Times New Roman"/>
          <w:sz w:val="24"/>
          <w:szCs w:val="24"/>
        </w:rPr>
      </w:pPr>
      <w:r w:rsidRPr="008F0C8C">
        <w:rPr>
          <w:rFonts w:ascii="Times New Roman" w:hAnsi="Times New Roman"/>
          <w:sz w:val="24"/>
          <w:szCs w:val="24"/>
        </w:rPr>
        <w:t>ET Section 56 Article V – Due Care .05</w:t>
      </w:r>
    </w:p>
    <w:p w:rsidR="007B0D91" w:rsidRDefault="007B0D91" w:rsidP="008F0C8C">
      <w:pPr>
        <w:pStyle w:val="ListParagraph"/>
        <w:spacing w:after="0" w:line="480" w:lineRule="auto"/>
        <w:ind w:left="0"/>
        <w:rPr>
          <w:rFonts w:ascii="Times New Roman" w:hAnsi="Times New Roman"/>
          <w:sz w:val="24"/>
          <w:szCs w:val="24"/>
        </w:rPr>
      </w:pPr>
    </w:p>
    <w:p w:rsidR="00345237" w:rsidRDefault="00345237" w:rsidP="00345237">
      <w:pPr>
        <w:numPr>
          <w:ilvl w:val="0"/>
          <w:numId w:val="1"/>
        </w:numPr>
        <w:rPr>
          <w:rFonts w:ascii="Times New Roman" w:hAnsi="Times New Roman"/>
          <w:sz w:val="24"/>
          <w:szCs w:val="24"/>
        </w:rPr>
      </w:pPr>
      <w:r>
        <w:rPr>
          <w:rFonts w:ascii="Times New Roman" w:hAnsi="Times New Roman"/>
          <w:sz w:val="24"/>
          <w:szCs w:val="24"/>
        </w:rPr>
        <w:t xml:space="preserve">      Findings. The Board makes no determination as to the violation alleged by the</w:t>
      </w:r>
    </w:p>
    <w:p w:rsidR="00345237" w:rsidRDefault="00345237" w:rsidP="00345237">
      <w:pPr>
        <w:ind w:left="1080"/>
        <w:rPr>
          <w:rFonts w:ascii="Times New Roman" w:hAnsi="Times New Roman"/>
          <w:sz w:val="24"/>
          <w:szCs w:val="24"/>
        </w:rPr>
      </w:pPr>
      <w:r>
        <w:rPr>
          <w:rFonts w:ascii="Times New Roman" w:hAnsi="Times New Roman"/>
          <w:sz w:val="24"/>
          <w:szCs w:val="24"/>
        </w:rPr>
        <w:t xml:space="preserve">            Complaint.  The parties agree that it is in the best interest of all concerned </w:t>
      </w:r>
    </w:p>
    <w:p w:rsidR="008F0C8C" w:rsidRDefault="00345237" w:rsidP="008F0C8C">
      <w:pPr>
        <w:ind w:left="1080"/>
        <w:rPr>
          <w:rFonts w:ascii="Times New Roman" w:hAnsi="Times New Roman"/>
          <w:sz w:val="24"/>
          <w:szCs w:val="24"/>
        </w:rPr>
      </w:pPr>
      <w:r>
        <w:rPr>
          <w:rFonts w:ascii="Times New Roman" w:hAnsi="Times New Roman"/>
          <w:sz w:val="24"/>
          <w:szCs w:val="24"/>
        </w:rPr>
        <w:t xml:space="preserve">            this matter be resolved by way of this Stipulated Agreement.  </w:t>
      </w:r>
    </w:p>
    <w:p w:rsidR="002C782B" w:rsidRPr="00977095" w:rsidRDefault="002C782B" w:rsidP="008F0C8C">
      <w:pPr>
        <w:ind w:left="1080"/>
        <w:rPr>
          <w:rFonts w:ascii="Times New Roman" w:hAnsi="Times New Roman"/>
          <w:sz w:val="24"/>
          <w:szCs w:val="24"/>
        </w:rPr>
      </w:pPr>
      <w:r w:rsidRPr="00977095">
        <w:rPr>
          <w:rFonts w:ascii="Times New Roman" w:hAnsi="Times New Roman"/>
          <w:sz w:val="24"/>
          <w:szCs w:val="24"/>
        </w:rPr>
        <w:t>Action</w:t>
      </w:r>
    </w:p>
    <w:p w:rsidR="00345237" w:rsidRPr="00345237" w:rsidRDefault="002C782B" w:rsidP="00345237">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 xml:space="preserve">ent will </w:t>
      </w:r>
      <w:r w:rsidR="008F0C8C">
        <w:rPr>
          <w:rFonts w:ascii="Times New Roman" w:hAnsi="Times New Roman"/>
          <w:sz w:val="24"/>
          <w:szCs w:val="24"/>
        </w:rPr>
        <w:t xml:space="preserve">sign </w:t>
      </w:r>
      <w:r w:rsidR="00775510">
        <w:rPr>
          <w:rFonts w:ascii="Times New Roman" w:hAnsi="Times New Roman"/>
          <w:sz w:val="24"/>
          <w:szCs w:val="24"/>
        </w:rPr>
        <w:t>this Stipulated Agreement and sign the enclosed</w:t>
      </w:r>
      <w:r w:rsidR="008F0C8C">
        <w:rPr>
          <w:rFonts w:ascii="Times New Roman" w:hAnsi="Times New Roman"/>
          <w:sz w:val="24"/>
          <w:szCs w:val="24"/>
        </w:rPr>
        <w:t xml:space="preserve"> </w:t>
      </w:r>
      <w:r w:rsidR="00775510">
        <w:rPr>
          <w:rFonts w:ascii="Times New Roman" w:hAnsi="Times New Roman"/>
          <w:sz w:val="24"/>
          <w:szCs w:val="24"/>
        </w:rPr>
        <w:t>Letter of Reprimand and return both documents</w:t>
      </w:r>
      <w:r w:rsidR="008F0C8C">
        <w:rPr>
          <w:rFonts w:ascii="Times New Roman" w:hAnsi="Times New Roman"/>
          <w:sz w:val="24"/>
          <w:szCs w:val="24"/>
        </w:rPr>
        <w:t xml:space="preserve"> </w:t>
      </w:r>
      <w:r w:rsidR="00383F41" w:rsidRPr="003503C3">
        <w:rPr>
          <w:rFonts w:ascii="Times New Roman" w:hAnsi="Times New Roman"/>
          <w:sz w:val="24"/>
          <w:szCs w:val="24"/>
        </w:rPr>
        <w:t xml:space="preserve">no later than </w:t>
      </w:r>
      <w:r w:rsidR="00775510">
        <w:rPr>
          <w:rFonts w:ascii="Times New Roman" w:hAnsi="Times New Roman"/>
          <w:sz w:val="24"/>
          <w:szCs w:val="24"/>
        </w:rPr>
        <w:t>November 30</w:t>
      </w:r>
      <w:r w:rsidR="00AC6018" w:rsidRPr="003503C3">
        <w:rPr>
          <w:rFonts w:ascii="Times New Roman" w:hAnsi="Times New Roman"/>
          <w:sz w:val="24"/>
          <w:szCs w:val="24"/>
        </w:rPr>
        <w:t>, 2012</w:t>
      </w:r>
      <w:r w:rsidR="00345237">
        <w:rPr>
          <w:rFonts w:ascii="Times New Roman" w:hAnsi="Times New Roman"/>
          <w:sz w:val="24"/>
          <w:szCs w:val="24"/>
        </w:rPr>
        <w:t xml:space="preserve"> </w:t>
      </w:r>
      <w:r w:rsidR="00345237" w:rsidRPr="003503C3">
        <w:rPr>
          <w:rFonts w:ascii="Times New Roman" w:hAnsi="Times New Roman"/>
          <w:sz w:val="24"/>
          <w:szCs w:val="24"/>
        </w:rPr>
        <w:t xml:space="preserve">to the Public Accountancy Board, 5200 Oakland NE, </w:t>
      </w:r>
      <w:r w:rsidR="00345237" w:rsidRPr="00345237">
        <w:rPr>
          <w:rFonts w:ascii="Times New Roman" w:hAnsi="Times New Roman"/>
          <w:sz w:val="24"/>
          <w:szCs w:val="24"/>
        </w:rPr>
        <w:t>Suite D, Albuquerque, NM 87113</w:t>
      </w:r>
      <w:r w:rsidR="00345237">
        <w:rPr>
          <w:rFonts w:ascii="Times New Roman" w:hAnsi="Times New Roman"/>
          <w:sz w:val="24"/>
          <w:szCs w:val="24"/>
        </w:rPr>
        <w: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8F0C8C">
        <w:rPr>
          <w:rFonts w:ascii="Times New Roman" w:hAnsi="Times New Roman"/>
          <w:sz w:val="24"/>
          <w:szCs w:val="24"/>
        </w:rPr>
        <w:t>his</w:t>
      </w:r>
      <w:r w:rsidR="00AC6018" w:rsidRPr="00E065F6">
        <w:rPr>
          <w:rFonts w:ascii="Times New Roman" w:hAnsi="Times New Roman"/>
          <w:b/>
          <w:sz w:val="24"/>
          <w:szCs w:val="24"/>
        </w:rPr>
        <w:t xml:space="preserve"> </w:t>
      </w:r>
      <w:r w:rsidRPr="00977095">
        <w:rPr>
          <w:rFonts w:ascii="Times New Roman" w:hAnsi="Times New Roman"/>
          <w:sz w:val="24"/>
          <w:szCs w:val="24"/>
        </w:rPr>
        <w:t xml:space="preserve">right to a full hearing before the Board and all relevant time limitations </w:t>
      </w:r>
      <w:r w:rsidRPr="00977095">
        <w:rPr>
          <w:rFonts w:ascii="Times New Roman" w:hAnsi="Times New Roman"/>
          <w:sz w:val="24"/>
          <w:szCs w:val="24"/>
        </w:rPr>
        <w:lastRenderedPageBreak/>
        <w:t>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t>By signing this Stipulated Agreement, Respondent</w:t>
      </w:r>
      <w:r w:rsidR="00AC6018" w:rsidRPr="00C750BD">
        <w:rPr>
          <w:rFonts w:ascii="Times New Roman" w:hAnsi="Times New Roman"/>
          <w:sz w:val="24"/>
          <w:szCs w:val="24"/>
        </w:rPr>
        <w:t xml:space="preserve"> understands and agrees that </w:t>
      </w:r>
      <w:r w:rsidRPr="008F0C8C">
        <w:rPr>
          <w:rFonts w:ascii="Times New Roman" w:hAnsi="Times New Roman"/>
          <w:sz w:val="24"/>
          <w:szCs w:val="24"/>
        </w:rPr>
        <w:t>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008F0C8C">
        <w:rPr>
          <w:rFonts w:ascii="Times New Roman" w:hAnsi="Times New Roman"/>
          <w:sz w:val="24"/>
          <w:szCs w:val="24"/>
        </w:rPr>
        <w:t>his</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503C3">
        <w:rPr>
          <w:rFonts w:ascii="Times New Roman" w:hAnsi="Times New Roman"/>
          <w:sz w:val="24"/>
          <w:szCs w:val="24"/>
        </w:rPr>
        <w:t>ent of Board Case Number 2012-</w:t>
      </w:r>
      <w:r w:rsidR="008F0C8C">
        <w:rPr>
          <w:rFonts w:ascii="Times New Roman" w:hAnsi="Times New Roman"/>
          <w:sz w:val="24"/>
          <w:szCs w:val="24"/>
        </w:rPr>
        <w:t>23</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4A1033"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4A1033"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A96C95" w:rsidRDefault="004F3E5A" w:rsidP="009C5B38">
      <w:pPr>
        <w:spacing w:after="0" w:line="240" w:lineRule="auto"/>
        <w:rPr>
          <w:rFonts w:ascii="Times New Roman" w:hAnsi="Times New Roman"/>
          <w:b/>
          <w:sz w:val="28"/>
          <w:szCs w:val="28"/>
        </w:rPr>
      </w:pPr>
      <w:r w:rsidRPr="00A96C95">
        <w:rPr>
          <w:rFonts w:ascii="Times New Roman" w:hAnsi="Times New Roman"/>
          <w:b/>
          <w:sz w:val="28"/>
          <w:szCs w:val="28"/>
        </w:rPr>
        <w:t xml:space="preserve">Certified mail Return Receipt # </w:t>
      </w:r>
      <w:r w:rsidR="00A96C95" w:rsidRPr="00A96C95">
        <w:rPr>
          <w:rFonts w:ascii="Times New Roman" w:hAnsi="Times New Roman"/>
          <w:b/>
          <w:sz w:val="28"/>
          <w:szCs w:val="28"/>
        </w:rPr>
        <w:t>7011 2970 0001 7792 8823</w:t>
      </w:r>
      <w:r w:rsidR="00AC6018" w:rsidRPr="00A96C95">
        <w:rPr>
          <w:rFonts w:ascii="Times New Roman" w:hAnsi="Times New Roman"/>
          <w:b/>
          <w:sz w:val="28"/>
          <w:szCs w:val="28"/>
        </w:rPr>
        <w:t xml:space="preserve">  </w:t>
      </w:r>
    </w:p>
    <w:sectPr w:rsidR="002C782B" w:rsidRPr="00A96C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91" w:rsidRDefault="007B0D91" w:rsidP="004D5BC6">
      <w:pPr>
        <w:spacing w:after="0" w:line="240" w:lineRule="auto"/>
      </w:pPr>
      <w:r>
        <w:separator/>
      </w:r>
    </w:p>
  </w:endnote>
  <w:endnote w:type="continuationSeparator" w:id="0">
    <w:p w:rsidR="007B0D91" w:rsidRDefault="007B0D91"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91" w:rsidRDefault="007B0D91">
    <w:pPr>
      <w:pStyle w:val="Footer"/>
      <w:jc w:val="right"/>
    </w:pPr>
    <w:r>
      <w:fldChar w:fldCharType="begin"/>
    </w:r>
    <w:r>
      <w:instrText xml:space="preserve"> PAGE   \* MERGEFORMAT </w:instrText>
    </w:r>
    <w:r>
      <w:fldChar w:fldCharType="separate"/>
    </w:r>
    <w:r w:rsidR="00175A8F">
      <w:rPr>
        <w:noProof/>
      </w:rPr>
      <w:t>1</w:t>
    </w:r>
    <w:r>
      <w:rPr>
        <w:noProof/>
      </w:rPr>
      <w:fldChar w:fldCharType="end"/>
    </w:r>
  </w:p>
  <w:p w:rsidR="007B0D91" w:rsidRDefault="007B0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91" w:rsidRDefault="007B0D91" w:rsidP="004D5BC6">
      <w:pPr>
        <w:spacing w:after="0" w:line="240" w:lineRule="auto"/>
      </w:pPr>
      <w:r>
        <w:separator/>
      </w:r>
    </w:p>
  </w:footnote>
  <w:footnote w:type="continuationSeparator" w:id="0">
    <w:p w:rsidR="007B0D91" w:rsidRDefault="007B0D91"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31985"/>
    <w:rsid w:val="001616A4"/>
    <w:rsid w:val="00175A8F"/>
    <w:rsid w:val="00190ACF"/>
    <w:rsid w:val="00261409"/>
    <w:rsid w:val="00286D53"/>
    <w:rsid w:val="00294DA8"/>
    <w:rsid w:val="002B607C"/>
    <w:rsid w:val="002C782B"/>
    <w:rsid w:val="00345237"/>
    <w:rsid w:val="003503C3"/>
    <w:rsid w:val="00383F41"/>
    <w:rsid w:val="003C6CD0"/>
    <w:rsid w:val="003F687E"/>
    <w:rsid w:val="004378B5"/>
    <w:rsid w:val="0046307B"/>
    <w:rsid w:val="00470B14"/>
    <w:rsid w:val="004A1033"/>
    <w:rsid w:val="004C5BC0"/>
    <w:rsid w:val="004D3042"/>
    <w:rsid w:val="004D5BC6"/>
    <w:rsid w:val="004F3E5A"/>
    <w:rsid w:val="00534526"/>
    <w:rsid w:val="00603F8C"/>
    <w:rsid w:val="00612757"/>
    <w:rsid w:val="00656413"/>
    <w:rsid w:val="00661C0B"/>
    <w:rsid w:val="006C532F"/>
    <w:rsid w:val="006C5644"/>
    <w:rsid w:val="006C767B"/>
    <w:rsid w:val="0073123A"/>
    <w:rsid w:val="007328BD"/>
    <w:rsid w:val="007417A9"/>
    <w:rsid w:val="00775510"/>
    <w:rsid w:val="007B0D91"/>
    <w:rsid w:val="007C0678"/>
    <w:rsid w:val="008050EB"/>
    <w:rsid w:val="00844759"/>
    <w:rsid w:val="008636B1"/>
    <w:rsid w:val="0088101C"/>
    <w:rsid w:val="008A0397"/>
    <w:rsid w:val="008A46C0"/>
    <w:rsid w:val="008D5F56"/>
    <w:rsid w:val="008F0C8C"/>
    <w:rsid w:val="009305E1"/>
    <w:rsid w:val="0094333E"/>
    <w:rsid w:val="00977095"/>
    <w:rsid w:val="0098321E"/>
    <w:rsid w:val="009C5B38"/>
    <w:rsid w:val="00A3738E"/>
    <w:rsid w:val="00A85B64"/>
    <w:rsid w:val="00A96C95"/>
    <w:rsid w:val="00AC6018"/>
    <w:rsid w:val="00AD083C"/>
    <w:rsid w:val="00B00F29"/>
    <w:rsid w:val="00B22A9C"/>
    <w:rsid w:val="00BA63BD"/>
    <w:rsid w:val="00BF590C"/>
    <w:rsid w:val="00C11E1A"/>
    <w:rsid w:val="00C179A0"/>
    <w:rsid w:val="00C750BD"/>
    <w:rsid w:val="00C76C61"/>
    <w:rsid w:val="00CD3070"/>
    <w:rsid w:val="00D01879"/>
    <w:rsid w:val="00D215EC"/>
    <w:rsid w:val="00D65DFD"/>
    <w:rsid w:val="00E065F6"/>
    <w:rsid w:val="00E11E0B"/>
    <w:rsid w:val="00E36949"/>
    <w:rsid w:val="00E4229B"/>
    <w:rsid w:val="00E45244"/>
    <w:rsid w:val="00E70193"/>
    <w:rsid w:val="00EE1EFD"/>
    <w:rsid w:val="00FA26F8"/>
    <w:rsid w:val="00FA481F"/>
    <w:rsid w:val="00FB1C4D"/>
    <w:rsid w:val="00FC62B3"/>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 w:type="paragraph" w:styleId="NoSpacing">
    <w:name w:val="No Spacing"/>
    <w:uiPriority w:val="1"/>
    <w:qFormat/>
    <w:rsid w:val="007B0D9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8</cp:revision>
  <cp:lastPrinted>2012-05-03T14:45:00Z</cp:lastPrinted>
  <dcterms:created xsi:type="dcterms:W3CDTF">2012-10-23T15:44:00Z</dcterms:created>
  <dcterms:modified xsi:type="dcterms:W3CDTF">2012-10-23T21:46:00Z</dcterms:modified>
</cp:coreProperties>
</file>